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411861</w:t>
      </w:r>
      <w:bookmarkStart w:id="34" w:name="_GoBack"/>
      <w:bookmarkEnd w:id="34"/>
    </w:p>
    <w:p>
      <w:pPr>
        <w:pStyle w:val="73"/>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0"/>
      <w:bookmarkEnd w:id="1"/>
      <w:r>
        <w:rPr>
          <w:rStyle w:val="60"/>
          <w:rFonts w:hint="eastAsia"/>
          <w:b/>
          <w:highlight w:val="none"/>
          <w:lang w:val="en-US" w:eastAsia="zh-CN"/>
        </w:rPr>
        <w:t xml:space="preserve"> SAN RF requirements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8.9.5</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104</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 xml:space="preserve">from </w:t>
      </w:r>
      <w:r>
        <w:rPr>
          <w:rFonts w:hint="eastAsia"/>
          <w:i w:val="0"/>
          <w:iCs w:val="0"/>
          <w:sz w:val="20"/>
          <w:szCs w:val="20"/>
          <w:lang w:val="en-US" w:eastAsia="zh-CN"/>
        </w:rPr>
        <w:t>SAN</w:t>
      </w:r>
      <w:r>
        <w:rPr>
          <w:rFonts w:hint="default"/>
          <w:i w:val="0"/>
          <w:iCs w:val="0"/>
          <w:sz w:val="20"/>
          <w:szCs w:val="20"/>
          <w:lang w:val="en-US" w:eastAsia="zh-CN"/>
        </w:rPr>
        <w:t xml:space="preserv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0"/>
              <w:textAlignment w:val="baseline"/>
              <w:rPr>
                <w:bCs/>
                <w:sz w:val="20"/>
                <w:szCs w:val="20"/>
              </w:rPr>
            </w:pPr>
            <w:r>
              <w:rPr>
                <w:bCs/>
                <w:sz w:val="20"/>
                <w:szCs w:val="20"/>
              </w:rPr>
              <w:t>The following assumptions are taken as the baseline for this work:</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GSO and NGSO</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NTN capable UE type 1 to 5 (38.101-5 </w:t>
            </w:r>
            <w:r>
              <w:rPr>
                <w:sz w:val="20"/>
                <w:szCs w:val="20"/>
              </w:rPr>
              <w:t xml:space="preserve">Table 9.2.1.0-1) </w:t>
            </w:r>
            <w:r>
              <w:rPr>
                <w:bCs/>
                <w:sz w:val="20"/>
                <w:szCs w:val="20"/>
              </w:rPr>
              <w:t>for above 10 GHz (no handheld devices)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FDD Mode </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GNSS Receiver capability </w:t>
            </w:r>
          </w:p>
          <w:p>
            <w:pPr>
              <w:overflowPunct w:val="0"/>
              <w:autoSpaceDE w:val="0"/>
              <w:autoSpaceDN w:val="0"/>
              <w:adjustRightInd w:val="0"/>
              <w:spacing w:after="0"/>
              <w:ind w:left="720"/>
              <w:textAlignment w:val="baseline"/>
              <w:rPr>
                <w:bCs/>
                <w:color w:val="FF0000"/>
                <w:sz w:val="20"/>
                <w:szCs w:val="20"/>
              </w:rPr>
            </w:pPr>
          </w:p>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frequency range and subcarrier spacing. Conduct new co-existence studies based on adjacent services .</w:t>
            </w:r>
          </w:p>
          <w:p>
            <w:pPr>
              <w:numPr>
                <w:ilvl w:val="0"/>
                <w:numId w:val="9"/>
              </w:numPr>
              <w:overflowPunct w:val="0"/>
              <w:autoSpaceDE w:val="0"/>
              <w:autoSpaceDN w:val="0"/>
              <w:adjustRightInd w:val="0"/>
              <w:spacing w:after="0"/>
              <w:jc w:val="both"/>
              <w:textAlignment w:val="baseline"/>
              <w:rPr>
                <w:bCs/>
                <w:sz w:val="20"/>
                <w:szCs w:val="20"/>
              </w:rPr>
            </w:pPr>
            <w:r>
              <w:rPr>
                <w:sz w:val="20"/>
                <w:szCs w:val="20"/>
              </w:rPr>
              <w:t>Specify RF requirements for satellite access node and NTN VSAT types in 38.101-5 also considering existing regulations on antenna sizes for certain parts of the Ku band.</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RAN4 will select which one of the above approaches for DL and UL will be pursued by RAN #106.</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 to support satellite services in 125 MHz (UL) and 250 MHz (DL) aggregated bandwidths.</w:t>
            </w:r>
          </w:p>
          <w:p>
            <w:pPr>
              <w:pStyle w:val="34"/>
              <w:numPr>
                <w:ilvl w:val="0"/>
                <w:numId w:val="10"/>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 xml:space="preserve">Specify RRM requirements </w:t>
            </w:r>
          </w:p>
          <w:p>
            <w:pPr>
              <w:pStyle w:val="34"/>
              <w:overflowPunct/>
              <w:autoSpaceDE/>
              <w:autoSpaceDN/>
              <w:adjustRightInd/>
              <w:spacing w:before="0" w:beforeAutospacing="0" w:after="160" w:afterAutospacing="0" w:line="259" w:lineRule="auto"/>
              <w:ind w:left="360"/>
              <w:contextualSpacing/>
              <w:jc w:val="both"/>
              <w:textAlignment w:val="auto"/>
              <w:rPr>
                <w:sz w:val="20"/>
                <w:szCs w:val="20"/>
              </w:rPr>
            </w:pP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r>
              <w:rPr>
                <w:sz w:val="20"/>
                <w:szCs w:val="20"/>
              </w:rPr>
              <w:t>Note: Support for NTN CA is not in the scope of this WID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2.1 SAN classes</w:t>
      </w:r>
    </w:p>
    <w:p>
      <w:pPr>
        <w:rPr>
          <w:rFonts w:hint="eastAsia"/>
          <w:i w:val="0"/>
          <w:iCs w:val="0"/>
          <w:sz w:val="20"/>
          <w:szCs w:val="18"/>
          <w:lang w:val="en-US" w:eastAsia="zh-CN"/>
        </w:rPr>
      </w:pPr>
      <w:r>
        <w:rPr>
          <w:rFonts w:hint="eastAsia"/>
          <w:i w:val="0"/>
          <w:iCs w:val="0"/>
          <w:sz w:val="20"/>
          <w:szCs w:val="18"/>
          <w:lang w:val="en-US" w:eastAsia="zh-CN"/>
        </w:rPr>
        <w:t>Regarding SAN classes, there are three SAN classes defined in TS 38.108: GEO satellite, LEO 600 km satellite and LEO 1200 km satellite. Considering the assumption of this WID, it takes GSO and NGSO as a baseline. So, we propose that GEO, LEO-600, and LEO-1200 should be allowed for NTN Ku band.</w:t>
      </w:r>
    </w:p>
    <w:p>
      <w:pPr>
        <w:rPr>
          <w:rFonts w:hint="eastAsia"/>
          <w:b/>
          <w:bCs/>
          <w:i w:val="0"/>
          <w:iCs w:val="0"/>
          <w:sz w:val="20"/>
          <w:szCs w:val="20"/>
          <w:lang w:val="en-US" w:eastAsia="zh-CN"/>
        </w:rPr>
      </w:pPr>
      <w:r>
        <w:rPr>
          <w:rFonts w:hint="eastAsia"/>
          <w:b/>
          <w:bCs/>
          <w:i w:val="0"/>
          <w:iCs w:val="0"/>
          <w:sz w:val="20"/>
          <w:szCs w:val="20"/>
          <w:lang w:val="en-US" w:eastAsia="zh-CN"/>
        </w:rPr>
        <w:t>Proposal 1: We propose that GEO, LEO-600, and LEO-1200 should be allowed for NTN Ku band.</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2.2 SAN RF requirements</w:t>
      </w:r>
    </w:p>
    <w:p>
      <w:pPr>
        <w:bidi w:val="0"/>
        <w:rPr>
          <w:rFonts w:hint="eastAsia" w:cs="Times New Roman"/>
          <w:b/>
          <w:bCs/>
          <w:kern w:val="2"/>
          <w:sz w:val="20"/>
          <w:szCs w:val="20"/>
          <w:lang w:val="en-US" w:eastAsia="zh-CN" w:bidi="ar-SA"/>
        </w:rPr>
      </w:pPr>
      <w:r>
        <w:rPr>
          <w:rFonts w:hint="eastAsia"/>
          <w:sz w:val="20"/>
          <w:szCs w:val="18"/>
          <w:lang w:val="en-US" w:eastAsia="zh-CN"/>
        </w:rPr>
        <w:t>We make the following proposals for SAN RF requirements for NTN Ku band.</w:t>
      </w:r>
    </w:p>
    <w:p>
      <w:pPr>
        <w:jc w:val="center"/>
        <w:rPr>
          <w:rFonts w:hint="default"/>
          <w:b/>
          <w:bCs/>
          <w:lang w:val="en-US" w:eastAsia="zh-CN"/>
        </w:rPr>
      </w:pPr>
      <w:r>
        <w:rPr>
          <w:rFonts w:hint="eastAsia" w:cs="Times New Roman"/>
          <w:b/>
          <w:bCs/>
          <w:kern w:val="2"/>
          <w:sz w:val="20"/>
          <w:szCs w:val="20"/>
          <w:lang w:val="en-US" w:eastAsia="zh-CN" w:bidi="ar-SA"/>
        </w:rPr>
        <w:t>Table 2.2 SAN RF requirements for NTN Ku band</w:t>
      </w:r>
    </w:p>
    <w:tbl>
      <w:tblPr>
        <w:tblStyle w:val="23"/>
        <w:tblW w:w="0" w:type="auto"/>
        <w:tblInd w:w="0" w:type="dxa"/>
        <w:tblLayout w:type="autofit"/>
        <w:tblCellMar>
          <w:top w:w="0" w:type="dxa"/>
          <w:left w:w="70" w:type="dxa"/>
          <w:bottom w:w="0" w:type="dxa"/>
          <w:right w:w="70" w:type="dxa"/>
        </w:tblCellMar>
      </w:tblPr>
      <w:tblGrid>
        <w:gridCol w:w="3145"/>
        <w:gridCol w:w="6655"/>
      </w:tblGrid>
      <w:tr>
        <w:tblPrEx>
          <w:tblCellMar>
            <w:top w:w="0" w:type="dxa"/>
            <w:left w:w="70" w:type="dxa"/>
            <w:bottom w:w="0" w:type="dxa"/>
            <w:right w:w="70" w:type="dxa"/>
          </w:tblCellMar>
        </w:tblPrEx>
        <w:trPr>
          <w:trHeight w:val="310" w:hRule="atLeast"/>
        </w:trPr>
        <w:tc>
          <w:tcPr>
            <w:tcW w:w="3145"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ascii="Calibri" w:hAnsi="Calibri" w:eastAsia="Times New Roman" w:cs="Calibri"/>
                <w:b/>
                <w:bCs/>
                <w:color w:val="000000"/>
                <w:sz w:val="20"/>
                <w:szCs w:val="20"/>
                <w:lang w:eastAsia="fi-FI"/>
              </w:rPr>
            </w:pPr>
            <w:r>
              <w:rPr>
                <w:b/>
                <w:bCs/>
                <w:sz w:val="20"/>
                <w:szCs w:val="20"/>
              </w:rPr>
              <w:t>NR BS RF Tx/Rx requirement</w:t>
            </w:r>
          </w:p>
        </w:tc>
        <w:tc>
          <w:tcPr>
            <w:tcW w:w="6655" w:type="dxa"/>
            <w:tcBorders>
              <w:top w:val="single" w:color="auto" w:sz="4" w:space="0"/>
              <w:left w:val="nil"/>
              <w:bottom w:val="single" w:color="auto" w:sz="4" w:space="0"/>
              <w:right w:val="single" w:color="auto" w:sz="4" w:space="0"/>
            </w:tcBorders>
            <w:shd w:val="clear" w:color="000000" w:fill="FFFFFF"/>
            <w:noWrap w:val="0"/>
            <w:vAlign w:val="top"/>
          </w:tcPr>
          <w:p>
            <w:pPr>
              <w:spacing w:after="0"/>
              <w:rPr>
                <w:rFonts w:ascii="Calibri" w:hAnsi="Calibri" w:eastAsia="Times New Roman" w:cs="Calibri"/>
                <w:b/>
                <w:bCs/>
                <w:color w:val="000000"/>
                <w:sz w:val="20"/>
                <w:szCs w:val="20"/>
                <w:lang w:val="fi-FI" w:eastAsia="fi-FI"/>
              </w:rPr>
            </w:pPr>
            <w:r>
              <w:rPr>
                <w:b/>
                <w:bCs/>
                <w:sz w:val="20"/>
                <w:szCs w:val="20"/>
              </w:rPr>
              <w:t xml:space="preserve">Proposal for </w:t>
            </w:r>
            <w:r>
              <w:rPr>
                <w:rFonts w:hint="eastAsia"/>
                <w:b/>
                <w:bCs/>
                <w:sz w:val="20"/>
                <w:szCs w:val="20"/>
              </w:rPr>
              <w:t>NTN Ku band</w:t>
            </w:r>
          </w:p>
        </w:tc>
      </w:tr>
      <w:tr>
        <w:tblPrEx>
          <w:tblCellMar>
            <w:top w:w="0" w:type="dxa"/>
            <w:left w:w="70" w:type="dxa"/>
            <w:bottom w:w="0" w:type="dxa"/>
            <w:right w:w="70" w:type="dxa"/>
          </w:tblCellMar>
        </w:tblPrEx>
        <w:trPr>
          <w:trHeight w:val="31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val="fi-FI" w:eastAsia="fi-FI"/>
              </w:rPr>
            </w:pPr>
            <w:r>
              <w:rPr>
                <w:rFonts w:hint="eastAsia"/>
                <w:sz w:val="20"/>
                <w:szCs w:val="20"/>
              </w:rPr>
              <w:t xml:space="preserve">SAN output power </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宋体"/>
                <w:color w:val="000000"/>
                <w:sz w:val="20"/>
                <w:szCs w:val="20"/>
                <w:lang w:val="en-US" w:eastAsia="zh-CN"/>
              </w:rPr>
            </w:pPr>
            <w:r>
              <w:rPr>
                <w:rFonts w:hint="eastAsia" w:eastAsia="宋体"/>
                <w:color w:val="000000"/>
                <w:sz w:val="20"/>
                <w:szCs w:val="20"/>
                <w:lang w:val="en-US" w:eastAsia="zh-CN"/>
              </w:rPr>
              <w:t>N</w:t>
            </w:r>
            <w:r>
              <w:rPr>
                <w:rFonts w:hint="eastAsia"/>
                <w:color w:val="000000"/>
                <w:sz w:val="20"/>
                <w:szCs w:val="20"/>
                <w:lang w:val="en-US" w:eastAsia="zh-CN"/>
              </w:rPr>
              <w:t>eed to discuss which SAN type can be supported.</w:t>
            </w:r>
          </w:p>
        </w:tc>
      </w:tr>
      <w:tr>
        <w:tblPrEx>
          <w:tblCellMar>
            <w:top w:w="0" w:type="dxa"/>
            <w:left w:w="70" w:type="dxa"/>
            <w:bottom w:w="0" w:type="dxa"/>
            <w:right w:w="70" w:type="dxa"/>
          </w:tblCellMar>
        </w:tblPrEx>
        <w:trPr>
          <w:trHeight w:val="87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val="fi-FI" w:eastAsia="fi-FI"/>
              </w:rPr>
            </w:pPr>
            <w:r>
              <w:rPr>
                <w:rFonts w:hint="eastAsia"/>
                <w:sz w:val="20"/>
                <w:szCs w:val="20"/>
                <w:lang w:val="en-US" w:eastAsia="zh-CN"/>
              </w:rPr>
              <w:t>O</w:t>
            </w:r>
            <w:r>
              <w:rPr>
                <w:rFonts w:hint="eastAsia"/>
                <w:sz w:val="20"/>
                <w:szCs w:val="20"/>
              </w:rPr>
              <w:t>utput power dynamics</w:t>
            </w:r>
          </w:p>
        </w:tc>
        <w:tc>
          <w:tcPr>
            <w:tcW w:w="6655" w:type="dxa"/>
            <w:tcBorders>
              <w:top w:val="nil"/>
              <w:left w:val="nil"/>
              <w:bottom w:val="single" w:color="auto" w:sz="4" w:space="0"/>
              <w:right w:val="single" w:color="auto" w:sz="4" w:space="0"/>
            </w:tcBorders>
            <w:shd w:val="clear" w:color="auto" w:fill="auto"/>
            <w:noWrap w:val="0"/>
            <w:vAlign w:val="top"/>
          </w:tcPr>
          <w:p>
            <w:pPr>
              <w:spacing w:after="160" w:line="259" w:lineRule="auto"/>
              <w:rPr>
                <w:rFonts w:eastAsia="Times New Roman"/>
                <w:strike/>
                <w:color w:val="000000"/>
                <w:sz w:val="20"/>
                <w:szCs w:val="20"/>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val="fi-FI" w:eastAsia="fi-FI"/>
              </w:rPr>
            </w:pPr>
            <w:r>
              <w:rPr>
                <w:rFonts w:hint="eastAsia"/>
                <w:sz w:val="20"/>
                <w:szCs w:val="20"/>
                <w:lang w:val="en-US" w:eastAsia="zh-CN"/>
              </w:rPr>
              <w:t>T</w:t>
            </w:r>
            <w:r>
              <w:rPr>
                <w:rFonts w:hint="eastAsia"/>
                <w:sz w:val="20"/>
                <w:szCs w:val="20"/>
              </w:rPr>
              <w:t>ransmit ON/OFF power</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宋体"/>
                <w:color w:val="000000"/>
                <w:sz w:val="20"/>
                <w:szCs w:val="20"/>
                <w:lang w:val="en-US" w:eastAsia="zh-CN"/>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58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eastAsia"/>
                <w:sz w:val="20"/>
                <w:szCs w:val="20"/>
              </w:rPr>
            </w:pPr>
            <w:bookmarkStart w:id="2" w:name="_Toc53178354"/>
            <w:bookmarkStart w:id="3" w:name="_Toc29811856"/>
            <w:bookmarkStart w:id="4" w:name="_Toc124157287"/>
            <w:bookmarkStart w:id="5" w:name="_Toc107419489"/>
            <w:bookmarkStart w:id="6" w:name="_Toc67916809"/>
            <w:bookmarkStart w:id="7" w:name="_Toc44712321"/>
            <w:bookmarkStart w:id="8" w:name="_Toc138837803"/>
            <w:bookmarkStart w:id="9" w:name="_Toc61179513"/>
            <w:bookmarkStart w:id="10" w:name="_Toc82621971"/>
            <w:bookmarkStart w:id="11" w:name="_Toc107475116"/>
            <w:bookmarkStart w:id="12" w:name="_Toc114255709"/>
            <w:bookmarkStart w:id="13" w:name="_Toc156567624"/>
            <w:bookmarkStart w:id="14" w:name="_Toc107311905"/>
            <w:bookmarkStart w:id="15" w:name="_Toc123054610"/>
            <w:bookmarkStart w:id="16" w:name="_Toc131596049"/>
            <w:bookmarkStart w:id="17" w:name="_Toc131766581"/>
            <w:bookmarkStart w:id="18" w:name="_Toc123717711"/>
            <w:bookmarkStart w:id="19" w:name="_Toc90422818"/>
            <w:bookmarkStart w:id="20" w:name="_Toc115186389"/>
            <w:bookmarkStart w:id="21" w:name="_Toc21127647"/>
            <w:bookmarkStart w:id="22" w:name="_Toc106783014"/>
            <w:bookmarkStart w:id="23" w:name="_Toc53178805"/>
            <w:bookmarkStart w:id="24" w:name="_Toc123049219"/>
            <w:bookmarkStart w:id="25" w:name="_Toc123052141"/>
            <w:bookmarkStart w:id="26" w:name="_Toc74663430"/>
            <w:bookmarkStart w:id="27" w:name="_Toc45893634"/>
            <w:bookmarkStart w:id="28" w:name="_Toc131741047"/>
            <w:bookmarkStart w:id="29" w:name="_Toc37260330"/>
            <w:bookmarkStart w:id="30" w:name="_Toc37267718"/>
            <w:bookmarkStart w:id="31" w:name="_Toc124266691"/>
            <w:bookmarkStart w:id="32" w:name="_Toc36817408"/>
            <w:bookmarkStart w:id="33" w:name="_Toc61179043"/>
            <w:r>
              <w:rPr>
                <w:rFonts w:hint="eastAsia"/>
                <w:sz w:val="20"/>
                <w:szCs w:val="20"/>
                <w:lang w:val="en-US" w:eastAsia="zh-CN"/>
              </w:rPr>
              <w:t>T</w:t>
            </w:r>
            <w:r>
              <w:rPr>
                <w:rFonts w:hint="eastAsia"/>
                <w:sz w:val="20"/>
                <w:szCs w:val="20"/>
              </w:rPr>
              <w:t>ransmitted signal quality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spacing w:after="0"/>
              <w:rPr>
                <w:rFonts w:hint="eastAsia"/>
                <w:sz w:val="20"/>
                <w:szCs w:val="20"/>
                <w:lang w:val="fi-FI" w:eastAsia="fi-FI"/>
              </w:rPr>
            </w:pP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eastAsia"/>
                <w:sz w:val="20"/>
                <w:szCs w:val="20"/>
              </w:rPr>
            </w:pPr>
            <w:r>
              <w:rPr>
                <w:rFonts w:hint="eastAsia"/>
                <w:lang w:val="en-US" w:eastAsia="zh-CN"/>
              </w:rPr>
              <w:t>O</w:t>
            </w:r>
            <w:r>
              <w:t>ccupied bandwidth</w:t>
            </w:r>
          </w:p>
          <w:p>
            <w:pPr>
              <w:spacing w:after="0"/>
              <w:rPr>
                <w:rFonts w:hint="eastAsia"/>
                <w:sz w:val="20"/>
                <w:szCs w:val="20"/>
                <w:lang w:eastAsia="fi-FI"/>
              </w:rPr>
            </w:pP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val="fi-FI" w:eastAsia="fi-FI"/>
              </w:rPr>
            </w:pPr>
            <w:r>
              <w:rPr>
                <w:rFonts w:hint="eastAsia"/>
                <w:sz w:val="20"/>
                <w:szCs w:val="20"/>
              </w:rPr>
              <w:t>Adjacent Channel Leakage Power Ratio (ACLR)</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eastAsia="Times New Roman"/>
                <w:color w:val="000000"/>
                <w:sz w:val="20"/>
                <w:szCs w:val="20"/>
                <w:lang w:val="fi-FI" w:eastAsia="fi-FI"/>
              </w:rPr>
            </w:pPr>
            <w:r>
              <w:rPr>
                <w:rFonts w:hint="eastAsia" w:eastAsia="宋体"/>
                <w:color w:val="000000"/>
                <w:sz w:val="20"/>
                <w:szCs w:val="20"/>
                <w:lang w:val="en-US" w:eastAsia="zh-CN"/>
              </w:rPr>
              <w:t>It depends on the outcome of coexistence study</w:t>
            </w:r>
            <w:r>
              <w:rPr>
                <w:rFonts w:hint="eastAsia" w:eastAsia="Times New Roman"/>
                <w:color w:val="000000"/>
                <w:sz w:val="20"/>
                <w:szCs w:val="20"/>
                <w:lang w:val="fi-FI" w:eastAsia="fi-FI"/>
              </w:rPr>
              <w:t xml:space="preserve">. </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val="fi-FI" w:eastAsia="fi-FI"/>
              </w:rPr>
            </w:pPr>
            <w:r>
              <w:rPr>
                <w:rFonts w:hint="eastAsia"/>
                <w:sz w:val="20"/>
                <w:szCs w:val="20"/>
                <w:lang w:val="en-US" w:eastAsia="zh-CN"/>
              </w:rPr>
              <w:t>O</w:t>
            </w:r>
            <w:r>
              <w:rPr>
                <w:rFonts w:hint="eastAsia"/>
                <w:sz w:val="20"/>
                <w:szCs w:val="20"/>
              </w:rPr>
              <w:t>ut-of-band emissions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eastAsia="Times New Roman"/>
                <w:color w:val="000000"/>
                <w:sz w:val="20"/>
                <w:szCs w:val="20"/>
                <w:lang w:val="fi-FI" w:eastAsia="fi-FI"/>
              </w:rPr>
            </w:pPr>
            <w:r>
              <w:rPr>
                <w:rFonts w:hint="eastAsia" w:eastAsia="宋体"/>
                <w:color w:val="000000"/>
                <w:sz w:val="20"/>
                <w:szCs w:val="20"/>
                <w:lang w:val="en-US" w:eastAsia="zh-CN"/>
              </w:rPr>
              <w:t xml:space="preserve">It </w:t>
            </w:r>
            <w:r>
              <w:rPr>
                <w:rFonts w:hint="eastAsia"/>
                <w:sz w:val="20"/>
                <w:szCs w:val="20"/>
                <w:vertAlign w:val="baseline"/>
                <w:lang w:val="en-US" w:eastAsia="zh-CN"/>
              </w:rPr>
              <w:t>depends on the outcome of coexistence study and ITU recommendation.</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val="fi-FI" w:eastAsia="fi-FI"/>
              </w:rPr>
            </w:pPr>
            <w:r>
              <w:rPr>
                <w:rFonts w:hint="eastAsia"/>
                <w:sz w:val="20"/>
                <w:szCs w:val="20"/>
                <w:lang w:val="en-US" w:eastAsia="zh-CN"/>
              </w:rPr>
              <w:t>T</w:t>
            </w:r>
            <w:r>
              <w:rPr>
                <w:rFonts w:hint="eastAsia"/>
                <w:sz w:val="20"/>
                <w:szCs w:val="20"/>
              </w:rPr>
              <w:t>ransmitter spurious emissions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color w:val="000000"/>
                <w:sz w:val="20"/>
                <w:szCs w:val="20"/>
                <w:lang w:val="en-US" w:eastAsia="fi-FI"/>
              </w:rPr>
            </w:pPr>
            <w:r>
              <w:rPr>
                <w:rFonts w:hint="eastAsia"/>
                <w:color w:val="000000"/>
                <w:sz w:val="20"/>
                <w:szCs w:val="20"/>
                <w:lang w:val="en-US" w:eastAsia="zh-CN"/>
              </w:rPr>
              <w:t>To reuse the same spurious emission requirement defined in TS 38.108.</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val="fi-FI" w:eastAsia="fi-FI"/>
              </w:rPr>
            </w:pPr>
            <w:r>
              <w:rPr>
                <w:rFonts w:hint="eastAsia"/>
                <w:sz w:val="20"/>
                <w:szCs w:val="20"/>
                <w:lang w:val="en-US" w:eastAsia="zh-CN"/>
              </w:rPr>
              <w:t>T</w:t>
            </w:r>
            <w:r>
              <w:rPr>
                <w:rFonts w:hint="eastAsia"/>
                <w:sz w:val="20"/>
                <w:szCs w:val="20"/>
              </w:rPr>
              <w:t>ransmitter intermodulation</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eastAsia="Times New Roman"/>
                <w:color w:val="000000"/>
                <w:sz w:val="20"/>
                <w:szCs w:val="20"/>
                <w:lang w:val="fi-FI" w:eastAsia="fi-FI"/>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val="fi-FI" w:eastAsia="fi-FI"/>
              </w:rPr>
            </w:pPr>
            <w:r>
              <w:rPr>
                <w:rFonts w:hint="eastAsia"/>
                <w:sz w:val="20"/>
                <w:szCs w:val="20"/>
                <w:lang w:val="en-US" w:eastAsia="zh-CN"/>
              </w:rPr>
              <w:t>Reference sensitivity level</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eastAsia="Times New Roman"/>
                <w:color w:val="000000"/>
                <w:sz w:val="20"/>
                <w:szCs w:val="20"/>
                <w:lang w:val="fi-FI" w:eastAsia="fi-FI"/>
              </w:rPr>
            </w:pPr>
            <w:r>
              <w:rPr>
                <w:rFonts w:hint="eastAsia" w:eastAsia="宋体"/>
                <w:color w:val="000000"/>
                <w:sz w:val="20"/>
                <w:szCs w:val="20"/>
                <w:lang w:val="en-US" w:eastAsia="zh-CN"/>
              </w:rPr>
              <w:t>Declaration basis according to the noise figure of SAN, antenna array configuration, the target SNR, FRC.</w:t>
            </w:r>
          </w:p>
        </w:tc>
      </w:tr>
      <w:tr>
        <w:tblPrEx>
          <w:tblCellMar>
            <w:top w:w="0" w:type="dxa"/>
            <w:left w:w="70" w:type="dxa"/>
            <w:bottom w:w="0" w:type="dxa"/>
            <w:right w:w="70" w:type="dxa"/>
          </w:tblCellMar>
        </w:tblPrEx>
        <w:trPr>
          <w:trHeight w:val="58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val="fi-FI" w:eastAsia="fi-FI"/>
              </w:rPr>
            </w:pPr>
            <w:r>
              <w:rPr>
                <w:rFonts w:hint="eastAsia"/>
                <w:sz w:val="20"/>
                <w:szCs w:val="20"/>
                <w:lang w:val="en-US" w:eastAsia="zh-CN"/>
              </w:rPr>
              <w:t>D</w:t>
            </w:r>
            <w:r>
              <w:rPr>
                <w:rFonts w:hint="eastAsia"/>
                <w:sz w:val="20"/>
                <w:szCs w:val="20"/>
              </w:rPr>
              <w:t>ynamic range</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eastAsia"/>
                <w:color w:val="000000"/>
                <w:sz w:val="20"/>
                <w:szCs w:val="20"/>
                <w:lang w:val="en-US" w:eastAsia="zh-CN"/>
              </w:rPr>
            </w:pPr>
            <w:r>
              <w:rPr>
                <w:rFonts w:hint="eastAsia" w:eastAsia="宋体"/>
                <w:color w:val="000000"/>
                <w:sz w:val="20"/>
                <w:szCs w:val="20"/>
                <w:lang w:val="en-US" w:eastAsia="zh-CN"/>
              </w:rPr>
              <w:t>Not band specific</w:t>
            </w:r>
            <w:r>
              <w:rPr>
                <w:rFonts w:hint="eastAsia"/>
                <w:color w:val="000000"/>
                <w:sz w:val="20"/>
                <w:szCs w:val="20"/>
                <w:lang w:val="en-US" w:eastAsia="zh-CN"/>
              </w:rPr>
              <w:t>.</w:t>
            </w:r>
          </w:p>
          <w:p>
            <w:pPr>
              <w:spacing w:after="0"/>
              <w:rPr>
                <w:rFonts w:hint="default"/>
                <w:color w:val="000000"/>
                <w:sz w:val="20"/>
                <w:szCs w:val="20"/>
                <w:lang w:val="en-US" w:eastAsia="fi-FI"/>
              </w:rPr>
            </w:pPr>
            <w:r>
              <w:rPr>
                <w:rFonts w:hint="default"/>
                <w:color w:val="000000"/>
                <w:sz w:val="20"/>
                <w:szCs w:val="20"/>
                <w:lang w:val="en-US" w:eastAsia="fi-FI"/>
              </w:rPr>
              <w:t>If we divide Ku band to FR1, requirements for 20 MHz, 35 MHz, 50 MHz, 70 MHz and 100 MHz channel bandwidth need to be defined.</w:t>
            </w:r>
          </w:p>
        </w:tc>
      </w:tr>
      <w:tr>
        <w:tblPrEx>
          <w:tblCellMar>
            <w:top w:w="0" w:type="dxa"/>
            <w:left w:w="70" w:type="dxa"/>
            <w:bottom w:w="0" w:type="dxa"/>
            <w:right w:w="70" w:type="dxa"/>
          </w:tblCellMar>
        </w:tblPrEx>
        <w:trPr>
          <w:trHeight w:val="58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val="fi-FI" w:eastAsia="fi-FI"/>
              </w:rPr>
            </w:pPr>
            <w:r>
              <w:rPr>
                <w:rFonts w:hint="eastAsia"/>
                <w:sz w:val="20"/>
                <w:szCs w:val="20"/>
                <w:lang w:val="en-US" w:eastAsia="zh-CN"/>
              </w:rPr>
              <w:t>A</w:t>
            </w:r>
            <w:r>
              <w:rPr>
                <w:rFonts w:hint="eastAsia"/>
                <w:sz w:val="20"/>
                <w:szCs w:val="20"/>
              </w:rPr>
              <w:t>djacent channel selectivity</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eastAsia="Times New Roman"/>
                <w:color w:val="000000"/>
                <w:sz w:val="20"/>
                <w:szCs w:val="20"/>
                <w:lang w:eastAsia="fi-FI"/>
              </w:rPr>
            </w:pPr>
            <w:r>
              <w:rPr>
                <w:rFonts w:hint="eastAsia" w:eastAsia="宋体"/>
                <w:color w:val="000000"/>
                <w:sz w:val="20"/>
                <w:szCs w:val="20"/>
                <w:lang w:val="en-US" w:eastAsia="zh-CN"/>
              </w:rPr>
              <w:t>It depends on the outcome of coexistence study</w:t>
            </w:r>
            <w:r>
              <w:rPr>
                <w:rFonts w:hint="eastAsia" w:eastAsia="Times New Roman"/>
                <w:color w:val="000000"/>
                <w:sz w:val="20"/>
                <w:szCs w:val="20"/>
                <w:lang w:val="fi-FI" w:eastAsia="fi-FI"/>
              </w:rPr>
              <w:t xml:space="preserve">. </w:t>
            </w:r>
          </w:p>
        </w:tc>
      </w:tr>
      <w:tr>
        <w:tblPrEx>
          <w:tblCellMar>
            <w:top w:w="0" w:type="dxa"/>
            <w:left w:w="70" w:type="dxa"/>
            <w:bottom w:w="0" w:type="dxa"/>
            <w:right w:w="70" w:type="dxa"/>
          </w:tblCellMar>
        </w:tblPrEx>
        <w:trPr>
          <w:trHeight w:val="58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val="fi-FI" w:eastAsia="fi-FI"/>
              </w:rPr>
            </w:pPr>
            <w:r>
              <w:rPr>
                <w:rFonts w:hint="eastAsia"/>
                <w:sz w:val="20"/>
                <w:szCs w:val="20"/>
                <w:lang w:val="en-US" w:eastAsia="zh-CN"/>
              </w:rPr>
              <w:t>I</w:t>
            </w:r>
            <w:r>
              <w:rPr>
                <w:rFonts w:hint="eastAsia"/>
                <w:sz w:val="20"/>
                <w:szCs w:val="20"/>
              </w:rPr>
              <w:t>n-band blocking</w:t>
            </w:r>
          </w:p>
        </w:tc>
        <w:tc>
          <w:tcPr>
            <w:tcW w:w="6655" w:type="dxa"/>
            <w:tcBorders>
              <w:top w:val="nil"/>
              <w:left w:val="nil"/>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eastAsia="fi-FI"/>
              </w:rPr>
            </w:pPr>
            <w:r>
              <w:rPr>
                <w:rFonts w:hint="eastAsia"/>
                <w:color w:val="000000"/>
                <w:sz w:val="20"/>
                <w:szCs w:val="20"/>
                <w:lang w:val="en-US" w:eastAsia="zh-CN"/>
              </w:rPr>
              <w:t>It</w:t>
            </w:r>
            <w:r>
              <w:rPr>
                <w:rFonts w:hint="eastAsia" w:eastAsia="宋体"/>
                <w:color w:val="000000"/>
                <w:sz w:val="20"/>
                <w:szCs w:val="20"/>
                <w:lang w:val="en-US" w:eastAsia="zh-CN"/>
              </w:rPr>
              <w:t xml:space="preserve"> depends on the outcome of coexistence study.</w:t>
            </w:r>
          </w:p>
        </w:tc>
      </w:tr>
      <w:tr>
        <w:tblPrEx>
          <w:tblCellMar>
            <w:top w:w="0" w:type="dxa"/>
            <w:left w:w="70" w:type="dxa"/>
            <w:bottom w:w="0" w:type="dxa"/>
            <w:right w:w="70" w:type="dxa"/>
          </w:tblCellMar>
        </w:tblPrEx>
        <w:trPr>
          <w:trHeight w:val="58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val="fi-FI" w:eastAsia="fi-FI"/>
              </w:rPr>
            </w:pPr>
            <w:r>
              <w:rPr>
                <w:rFonts w:hint="eastAsia"/>
                <w:sz w:val="20"/>
                <w:szCs w:val="20"/>
                <w:lang w:val="en-US" w:eastAsia="zh-CN"/>
              </w:rPr>
              <w:t>O</w:t>
            </w:r>
            <w:r>
              <w:rPr>
                <w:rFonts w:hint="eastAsia"/>
                <w:sz w:val="20"/>
                <w:szCs w:val="20"/>
              </w:rPr>
              <w:t>ut-of-band blocking</w:t>
            </w:r>
          </w:p>
        </w:tc>
        <w:tc>
          <w:tcPr>
            <w:tcW w:w="6655" w:type="dxa"/>
            <w:tcBorders>
              <w:top w:val="nil"/>
              <w:left w:val="nil"/>
              <w:bottom w:val="single" w:color="auto" w:sz="4" w:space="0"/>
              <w:right w:val="single" w:color="auto" w:sz="4" w:space="0"/>
            </w:tcBorders>
            <w:shd w:val="clear" w:color="000000" w:fill="FFFFFF"/>
            <w:noWrap w:val="0"/>
            <w:vAlign w:val="top"/>
          </w:tcPr>
          <w:p>
            <w:pPr>
              <w:spacing w:after="0"/>
              <w:rPr>
                <w:rFonts w:eastAsia="Times New Roman"/>
                <w:strike/>
                <w:color w:val="000000"/>
                <w:sz w:val="20"/>
                <w:szCs w:val="20"/>
                <w:lang w:eastAsia="fi-FI"/>
              </w:rPr>
            </w:pPr>
            <w:r>
              <w:rPr>
                <w:rFonts w:hint="eastAsia"/>
                <w:color w:val="000000"/>
                <w:sz w:val="20"/>
                <w:szCs w:val="20"/>
                <w:lang w:val="en-US" w:eastAsia="zh-CN"/>
              </w:rPr>
              <w:t>Needs further check whether out-of-band blocking requirements can be reused.</w:t>
            </w:r>
          </w:p>
        </w:tc>
      </w:tr>
      <w:tr>
        <w:tblPrEx>
          <w:tblCellMar>
            <w:top w:w="0" w:type="dxa"/>
            <w:left w:w="70" w:type="dxa"/>
            <w:bottom w:w="0" w:type="dxa"/>
            <w:right w:w="70" w:type="dxa"/>
          </w:tblCellMar>
        </w:tblPrEx>
        <w:trPr>
          <w:trHeight w:val="58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val="fi-FI" w:eastAsia="fi-FI"/>
              </w:rPr>
            </w:pPr>
            <w:r>
              <w:rPr>
                <w:rFonts w:hint="eastAsia"/>
                <w:sz w:val="20"/>
                <w:szCs w:val="20"/>
                <w:lang w:val="en-US" w:eastAsia="zh-CN"/>
              </w:rPr>
              <w:t>R</w:t>
            </w:r>
            <w:r>
              <w:rPr>
                <w:rFonts w:hint="eastAsia"/>
                <w:sz w:val="20"/>
                <w:szCs w:val="20"/>
              </w:rPr>
              <w:t>eceiver spurious emissions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87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val="fi-FI" w:eastAsia="fi-FI"/>
              </w:rPr>
            </w:pPr>
            <w:r>
              <w:rPr>
                <w:rFonts w:hint="eastAsia"/>
                <w:sz w:val="20"/>
                <w:szCs w:val="20"/>
                <w:lang w:val="en-US" w:eastAsia="zh-CN"/>
              </w:rPr>
              <w:t>R</w:t>
            </w:r>
            <w:r>
              <w:rPr>
                <w:sz w:val="20"/>
                <w:szCs w:val="20"/>
              </w:rPr>
              <w:t>eceiver intermodulation</w:t>
            </w:r>
          </w:p>
        </w:tc>
        <w:tc>
          <w:tcPr>
            <w:tcW w:w="6655" w:type="dxa"/>
            <w:tcBorders>
              <w:top w:val="nil"/>
              <w:left w:val="nil"/>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eastAsia="fi-FI"/>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870" w:hRule="atLeast"/>
        </w:trPr>
        <w:tc>
          <w:tcPr>
            <w:tcW w:w="3145"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val="fi-FI" w:eastAsia="fi-FI"/>
              </w:rPr>
            </w:pPr>
            <w:r>
              <w:rPr>
                <w:rFonts w:hint="eastAsia"/>
                <w:sz w:val="20"/>
                <w:szCs w:val="20"/>
                <w:lang w:val="en-US" w:eastAsia="zh-CN"/>
              </w:rPr>
              <w:t>I</w:t>
            </w:r>
            <w:r>
              <w:rPr>
                <w:sz w:val="20"/>
                <w:szCs w:val="20"/>
              </w:rPr>
              <w:t>n-channel selectivity</w:t>
            </w:r>
          </w:p>
        </w:tc>
        <w:tc>
          <w:tcPr>
            <w:tcW w:w="665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color w:val="000000"/>
                <w:sz w:val="20"/>
                <w:szCs w:val="20"/>
                <w:lang w:val="en-US" w:eastAsia="zh-CN"/>
              </w:rPr>
            </w:pPr>
            <w:r>
              <w:rPr>
                <w:rFonts w:hint="eastAsia" w:eastAsia="宋体"/>
                <w:color w:val="000000"/>
                <w:sz w:val="20"/>
                <w:szCs w:val="20"/>
                <w:lang w:val="en-US" w:eastAsia="zh-CN"/>
              </w:rPr>
              <w:t>Not band specific</w:t>
            </w:r>
            <w:r>
              <w:rPr>
                <w:rFonts w:hint="eastAsia"/>
                <w:color w:val="000000"/>
                <w:sz w:val="20"/>
                <w:szCs w:val="20"/>
                <w:lang w:val="en-US" w:eastAsia="zh-CN"/>
              </w:rPr>
              <w:t>.</w:t>
            </w:r>
          </w:p>
          <w:p>
            <w:pPr>
              <w:spacing w:after="0"/>
              <w:rPr>
                <w:rFonts w:hint="default"/>
                <w:color w:val="000000"/>
                <w:sz w:val="20"/>
                <w:szCs w:val="20"/>
                <w:lang w:val="en-US" w:eastAsia="fi-FI"/>
              </w:rPr>
            </w:pPr>
            <w:r>
              <w:rPr>
                <w:rFonts w:hint="default"/>
                <w:color w:val="000000"/>
                <w:sz w:val="20"/>
                <w:szCs w:val="20"/>
                <w:lang w:val="en-US" w:eastAsia="fi-FI"/>
              </w:rPr>
              <w:t>If we divide Ku band to FR1, requirements for 20 MHz, 35 MHz, 50 MHz, 70 MHz and 100 MHz channel bandwidth need to be defined.</w:t>
            </w:r>
          </w:p>
        </w:tc>
      </w:tr>
    </w:tbl>
    <w:p>
      <w:pPr>
        <w:rPr>
          <w:rFonts w:hint="eastAsia"/>
          <w:b/>
          <w:bCs/>
          <w:i w:val="0"/>
          <w:iCs w:val="0"/>
          <w:sz w:val="20"/>
          <w:szCs w:val="20"/>
          <w:lang w:val="en-US" w:eastAsia="zh-CN"/>
        </w:rPr>
      </w:pPr>
    </w:p>
    <w:p>
      <w:pPr>
        <w:rPr>
          <w:rFonts w:hint="eastAsia"/>
          <w:b/>
          <w:bCs/>
          <w:i w:val="0"/>
          <w:iCs w:val="0"/>
          <w:sz w:val="20"/>
          <w:szCs w:val="20"/>
          <w:lang w:val="en-US" w:eastAsia="zh-CN"/>
        </w:rPr>
      </w:pPr>
      <w:r>
        <w:rPr>
          <w:rFonts w:hint="eastAsia"/>
          <w:b/>
          <w:bCs/>
          <w:i w:val="0"/>
          <w:iCs w:val="0"/>
          <w:sz w:val="20"/>
          <w:szCs w:val="20"/>
          <w:lang w:val="en-US" w:eastAsia="zh-CN"/>
        </w:rPr>
        <w:t>Proposal 3: We make the proposals as Table 2.2 for SAN RF requirements for NTN Ku band.</w:t>
      </w:r>
    </w:p>
    <w:p>
      <w:pPr>
        <w:rPr>
          <w:rFonts w:hint="eastAsia"/>
          <w:b/>
          <w:bCs/>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SAN RF requirements</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i w:val="0"/>
          <w:iCs w:val="0"/>
          <w:sz w:val="20"/>
          <w:szCs w:val="20"/>
          <w:lang w:val="en-US" w:eastAsia="zh-CN"/>
        </w:rPr>
      </w:pPr>
      <w:r>
        <w:rPr>
          <w:rFonts w:hint="eastAsia"/>
          <w:b/>
          <w:bCs/>
          <w:i w:val="0"/>
          <w:iCs w:val="0"/>
          <w:sz w:val="20"/>
          <w:szCs w:val="20"/>
          <w:lang w:val="en-US" w:eastAsia="zh-CN"/>
        </w:rPr>
        <w:t>Proposal 1: We propose that GEO, LEO-600, and LEO-1200 should be allowed for NTN Ku band.</w:t>
      </w:r>
    </w:p>
    <w:p>
      <w:pPr>
        <w:rPr>
          <w:rFonts w:hint="eastAsia"/>
          <w:b/>
          <w:bCs/>
          <w:i/>
          <w:iCs/>
          <w:sz w:val="20"/>
          <w:szCs w:val="20"/>
          <w:lang w:val="en-US" w:eastAsia="zh-CN"/>
        </w:rPr>
      </w:pPr>
      <w:r>
        <w:rPr>
          <w:rFonts w:hint="eastAsia"/>
          <w:b/>
          <w:bCs/>
          <w:i w:val="0"/>
          <w:iCs w:val="0"/>
          <w:sz w:val="20"/>
          <w:szCs w:val="20"/>
          <w:lang w:val="en-US" w:eastAsia="zh-CN"/>
        </w:rPr>
        <w:t>Proposal 2: We make the proposals as Table 2.2 for SAN RF requirements for NTN Ku band.</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RP-241690, New WID on Introduction of Ku Band for NR NTN, Intelsat et al.</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ind w:left="2160" w:hanging="360"/>
      </w:p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9"/>
  </w:num>
  <w:num w:numId="3">
    <w:abstractNumId w:val="7"/>
  </w:num>
  <w:num w:numId="4">
    <w:abstractNumId w:val="5"/>
  </w:num>
  <w:num w:numId="5">
    <w:abstractNumId w:val="6"/>
  </w:num>
  <w:num w:numId="6">
    <w:abstractNumId w:val="1"/>
  </w:num>
  <w:num w:numId="7">
    <w:abstractNumId w:val="0"/>
  </w:num>
  <w:num w:numId="8">
    <w:abstractNumId w:val="3"/>
  </w:num>
  <w:num w:numId="9">
    <w:abstractNumId w:val="1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32182"/>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5909A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557675"/>
    <w:rsid w:val="04684A28"/>
    <w:rsid w:val="046C0EAE"/>
    <w:rsid w:val="04782230"/>
    <w:rsid w:val="0479507E"/>
    <w:rsid w:val="047B05A3"/>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72694"/>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8F7D75"/>
    <w:rsid w:val="089B79D9"/>
    <w:rsid w:val="08A44DA6"/>
    <w:rsid w:val="08AA245A"/>
    <w:rsid w:val="08AD2ACC"/>
    <w:rsid w:val="08B76C9F"/>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23E40"/>
    <w:rsid w:val="09F67CD5"/>
    <w:rsid w:val="0A054821"/>
    <w:rsid w:val="0A077A43"/>
    <w:rsid w:val="0A0835C8"/>
    <w:rsid w:val="0A0C17EE"/>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D2018"/>
    <w:rsid w:val="14CE33C4"/>
    <w:rsid w:val="14D60E60"/>
    <w:rsid w:val="14DA3DA1"/>
    <w:rsid w:val="14E60B42"/>
    <w:rsid w:val="14E75E9B"/>
    <w:rsid w:val="14EA1C4D"/>
    <w:rsid w:val="14ED27DF"/>
    <w:rsid w:val="14EF0267"/>
    <w:rsid w:val="14FB736A"/>
    <w:rsid w:val="150222BF"/>
    <w:rsid w:val="150F7C33"/>
    <w:rsid w:val="151178FC"/>
    <w:rsid w:val="1515004B"/>
    <w:rsid w:val="151B7C99"/>
    <w:rsid w:val="15207BBA"/>
    <w:rsid w:val="15222DA1"/>
    <w:rsid w:val="15256B65"/>
    <w:rsid w:val="152F4E1B"/>
    <w:rsid w:val="1546665E"/>
    <w:rsid w:val="154806E1"/>
    <w:rsid w:val="154D342A"/>
    <w:rsid w:val="15581ED5"/>
    <w:rsid w:val="1559587F"/>
    <w:rsid w:val="155E7DEC"/>
    <w:rsid w:val="15740334"/>
    <w:rsid w:val="1574662E"/>
    <w:rsid w:val="15751882"/>
    <w:rsid w:val="1575191B"/>
    <w:rsid w:val="157818C6"/>
    <w:rsid w:val="1596622F"/>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26131"/>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26934"/>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47B8"/>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614BDA"/>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36B92"/>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A33AF"/>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04BA3"/>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5C1E78"/>
    <w:rsid w:val="2C722F9A"/>
    <w:rsid w:val="2C797A76"/>
    <w:rsid w:val="2C8B6C0E"/>
    <w:rsid w:val="2C8F4862"/>
    <w:rsid w:val="2C9E5AC8"/>
    <w:rsid w:val="2CA05674"/>
    <w:rsid w:val="2CA2721B"/>
    <w:rsid w:val="2CA63A0C"/>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6B7868"/>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57B13"/>
    <w:rsid w:val="394B6470"/>
    <w:rsid w:val="395C6EA8"/>
    <w:rsid w:val="39841325"/>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E055E"/>
    <w:rsid w:val="3A1F6809"/>
    <w:rsid w:val="3A226969"/>
    <w:rsid w:val="3A3F47CE"/>
    <w:rsid w:val="3A410243"/>
    <w:rsid w:val="3A475185"/>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C2DB7"/>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A926A7"/>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70BD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143B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EB5134"/>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15F44"/>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2F0207"/>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7F51975"/>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11BEB"/>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E4B1E"/>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844A99"/>
    <w:rsid w:val="4F94662C"/>
    <w:rsid w:val="4FAB774E"/>
    <w:rsid w:val="4FB00163"/>
    <w:rsid w:val="4FB208E7"/>
    <w:rsid w:val="4FB47CBB"/>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0664A"/>
    <w:rsid w:val="54F52BA3"/>
    <w:rsid w:val="54F54E04"/>
    <w:rsid w:val="54FD1E28"/>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0CD3"/>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33A5E"/>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03923"/>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11DB4"/>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24F37"/>
    <w:rsid w:val="608D1D4E"/>
    <w:rsid w:val="60911FEF"/>
    <w:rsid w:val="60923D36"/>
    <w:rsid w:val="6092569C"/>
    <w:rsid w:val="609D0F5A"/>
    <w:rsid w:val="60AC72CC"/>
    <w:rsid w:val="60AD0357"/>
    <w:rsid w:val="60B004BE"/>
    <w:rsid w:val="60B6381B"/>
    <w:rsid w:val="60BA604C"/>
    <w:rsid w:val="60BE348E"/>
    <w:rsid w:val="60C302BA"/>
    <w:rsid w:val="60C30855"/>
    <w:rsid w:val="60C338B1"/>
    <w:rsid w:val="60D4742F"/>
    <w:rsid w:val="60D67C80"/>
    <w:rsid w:val="60D95276"/>
    <w:rsid w:val="60E06DEB"/>
    <w:rsid w:val="60E51841"/>
    <w:rsid w:val="61110088"/>
    <w:rsid w:val="611647A0"/>
    <w:rsid w:val="611D54C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344A89"/>
    <w:rsid w:val="624263A2"/>
    <w:rsid w:val="625272C3"/>
    <w:rsid w:val="626A1B4F"/>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92488"/>
    <w:rsid w:val="64FA211B"/>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00F11"/>
    <w:rsid w:val="66641D58"/>
    <w:rsid w:val="66655F85"/>
    <w:rsid w:val="667C7AEC"/>
    <w:rsid w:val="667F71BA"/>
    <w:rsid w:val="66863A0F"/>
    <w:rsid w:val="66984358"/>
    <w:rsid w:val="669B7C76"/>
    <w:rsid w:val="66A200F8"/>
    <w:rsid w:val="66A205F5"/>
    <w:rsid w:val="66A30EC2"/>
    <w:rsid w:val="66AA4BA8"/>
    <w:rsid w:val="66B51E22"/>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722BD"/>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3977A7"/>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7210B"/>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2D6444"/>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7920C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7F0863"/>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8E1C96"/>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13CC6"/>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A15B1"/>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0793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BE6C35"/>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2024-08-09T08:53:50Z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2C76AEB552B54F80A12B88DD3D57EA5C</vt:lpwstr>
  </property>
</Properties>
</file>